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70A" w:rsidRDefault="009E143F" w:rsidP="007423F9">
      <w:pPr>
        <w:pStyle w:val="Heading1"/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51B2C7F8" wp14:editId="1369E134">
            <wp:simplePos x="0" y="0"/>
            <wp:positionH relativeFrom="column">
              <wp:posOffset>-457200</wp:posOffset>
            </wp:positionH>
            <wp:positionV relativeFrom="paragraph">
              <wp:posOffset>-630555</wp:posOffset>
            </wp:positionV>
            <wp:extent cx="7562850" cy="1581150"/>
            <wp:effectExtent l="0" t="0" r="0" b="0"/>
            <wp:wrapSquare wrapText="bothSides"/>
            <wp:docPr id="1" name="Picture 1" descr="Logo: Australian Government, Attorney-General's Department." title="Australian Government, Attorney-General's Depart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068">
        <w:t>Marriage Celebrants Programme</w:t>
      </w:r>
      <w:bookmarkStart w:id="0" w:name="_GoBack"/>
      <w:bookmarkEnd w:id="0"/>
    </w:p>
    <w:p w:rsidR="00614068" w:rsidRPr="007720CB" w:rsidRDefault="00FF2D93" w:rsidP="00614068">
      <w:pPr>
        <w:jc w:val="right"/>
      </w:pPr>
      <w:r>
        <w:t xml:space="preserve">Updated </w:t>
      </w:r>
      <w:r w:rsidR="00E97FA4">
        <w:t>May 2019</w:t>
      </w:r>
    </w:p>
    <w:p w:rsidR="007D070A" w:rsidRPr="008C5F74" w:rsidRDefault="00614068" w:rsidP="00614068">
      <w:pPr>
        <w:pStyle w:val="Heading2"/>
      </w:pPr>
      <w:r>
        <w:t>Guidelines on advertising for Commonwealth-registered marriage celebrants</w:t>
      </w:r>
    </w:p>
    <w:p w:rsidR="007D070A" w:rsidRPr="00FE7111" w:rsidRDefault="00614068" w:rsidP="00FE7111">
      <w:pPr>
        <w:pStyle w:val="Heading3"/>
      </w:pPr>
      <w:r w:rsidRPr="00FE7111">
        <w:t>Celebrants often advertise their services</w:t>
      </w:r>
    </w:p>
    <w:p w:rsidR="00614068" w:rsidRDefault="00614068" w:rsidP="003C21EB">
      <w:pPr>
        <w:pStyle w:val="Bullet1"/>
      </w:pPr>
      <w:r>
        <w:t>Advertising can occur through newspapers, magazines, internet and social media.</w:t>
      </w:r>
    </w:p>
    <w:p w:rsidR="00614068" w:rsidRDefault="00614068" w:rsidP="003C21EB">
      <w:pPr>
        <w:pStyle w:val="Bullet1"/>
      </w:pPr>
      <w:r>
        <w:t xml:space="preserve">Done properly, advertising can benefit you and the broader community by making your services and terms clear.  </w:t>
      </w:r>
    </w:p>
    <w:p w:rsidR="007D070A" w:rsidRPr="00192F33" w:rsidRDefault="00614068" w:rsidP="003C21EB">
      <w:pPr>
        <w:pStyle w:val="Bullet1"/>
      </w:pPr>
      <w:r>
        <w:t xml:space="preserve">The way you advertise reflects your approach to your duties under the </w:t>
      </w:r>
      <w:r w:rsidRPr="00614068">
        <w:rPr>
          <w:i/>
        </w:rPr>
        <w:t>Marriage Act 1961</w:t>
      </w:r>
      <w:r>
        <w:t>. You must be a fit and proper person and act in accordance with the Code of Practice for marriage celebrants.</w:t>
      </w:r>
    </w:p>
    <w:p w:rsidR="008244AF" w:rsidRDefault="008244AF" w:rsidP="003C21EB">
      <w:pPr>
        <w:pStyle w:val="Bullet1"/>
      </w:pPr>
      <w:r>
        <w:t xml:space="preserve">From 9 December 2017, in all documents relating to the performance of </w:t>
      </w:r>
      <w:r w:rsidR="0069686D">
        <w:t xml:space="preserve">your </w:t>
      </w:r>
      <w:r>
        <w:t xml:space="preserve">marriage celebrancy service, including advertisements, online media (website, social media etc) and business cards, </w:t>
      </w:r>
      <w:r w:rsidR="0069686D">
        <w:t xml:space="preserve">you </w:t>
      </w:r>
      <w:r w:rsidR="00513231" w:rsidRPr="003C21EB">
        <w:rPr>
          <w:u w:val="single"/>
        </w:rPr>
        <w:t>must</w:t>
      </w:r>
      <w:r w:rsidR="00107B46">
        <w:t xml:space="preserve"> </w:t>
      </w:r>
      <w:r>
        <w:t xml:space="preserve">clearly indicate whether  </w:t>
      </w:r>
      <w:r w:rsidR="0069686D">
        <w:t xml:space="preserve">you </w:t>
      </w:r>
      <w:r>
        <w:t xml:space="preserve">are: </w:t>
      </w:r>
    </w:p>
    <w:p w:rsidR="008244AF" w:rsidRDefault="009F2997" w:rsidP="003C21EB">
      <w:pPr>
        <w:pStyle w:val="ListBullet"/>
        <w:contextualSpacing w:val="0"/>
      </w:pPr>
      <w:r>
        <w:t xml:space="preserve">a </w:t>
      </w:r>
      <w:r w:rsidR="008244AF">
        <w:t xml:space="preserve">religious marriage celebrant (if </w:t>
      </w:r>
      <w:r w:rsidR="0069686D">
        <w:t xml:space="preserve">you </w:t>
      </w:r>
      <w:r w:rsidR="008244AF">
        <w:t>are listed as a 'religious marriage celebrant' on the Register of Marriage Celebrants), or</w:t>
      </w:r>
    </w:p>
    <w:p w:rsidR="00D55DBC" w:rsidRDefault="00D04D02">
      <w:pPr>
        <w:pStyle w:val="ListBullet"/>
        <w:contextualSpacing w:val="0"/>
      </w:pPr>
      <w:r>
        <w:t>a</w:t>
      </w:r>
      <w:r w:rsidR="00C03F3B">
        <w:t xml:space="preserve"> marriage celebrant (if </w:t>
      </w:r>
      <w:r w:rsidR="0069686D">
        <w:t xml:space="preserve">you </w:t>
      </w:r>
      <w:r w:rsidR="00C03F3B">
        <w:t>are not a religious marriage celebrant)</w:t>
      </w:r>
      <w:r w:rsidR="008244AF">
        <w:t xml:space="preserve">. </w:t>
      </w:r>
      <w:r w:rsidR="009F0947">
        <w:t xml:space="preserve">The term ‘civil marriage celebrant’ can be used </w:t>
      </w:r>
      <w:r w:rsidR="0053665B">
        <w:t>and will</w:t>
      </w:r>
      <w:r w:rsidR="009F0947">
        <w:t xml:space="preserve"> meet the requirements of paragraph 39G(1)(d) of the Marriage Act.</w:t>
      </w:r>
    </w:p>
    <w:p w:rsidR="00107B46" w:rsidRPr="003C21EB" w:rsidRDefault="00107B46" w:rsidP="00FE7111">
      <w:pPr>
        <w:pStyle w:val="Heading3"/>
      </w:pPr>
      <w:r w:rsidRPr="003C21EB">
        <w:t>What should celebrants do?</w:t>
      </w:r>
    </w:p>
    <w:p w:rsidR="00FE7A63" w:rsidRDefault="00FE7A63" w:rsidP="003C21EB">
      <w:pPr>
        <w:numPr>
          <w:ilvl w:val="0"/>
          <w:numId w:val="5"/>
        </w:numPr>
        <w:spacing w:before="240"/>
        <w:ind w:left="426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Make sure you disclose,</w:t>
      </w:r>
      <w:r w:rsidR="007D2018">
        <w:rPr>
          <w:b/>
          <w:sz w:val="24"/>
          <w:szCs w:val="24"/>
        </w:rPr>
        <w:t xml:space="preserve"> in your advertising and any other documents relating to your role as a marriage celebrant</w:t>
      </w:r>
      <w:r>
        <w:rPr>
          <w:b/>
          <w:sz w:val="24"/>
          <w:szCs w:val="24"/>
        </w:rPr>
        <w:t>,</w:t>
      </w:r>
      <w:r w:rsidR="008244AF">
        <w:rPr>
          <w:b/>
          <w:sz w:val="24"/>
          <w:szCs w:val="24"/>
        </w:rPr>
        <w:t xml:space="preserve"> what type of celebrant you are</w:t>
      </w:r>
      <w:r w:rsidR="009E143F">
        <w:rPr>
          <w:b/>
          <w:sz w:val="24"/>
          <w:szCs w:val="24"/>
        </w:rPr>
        <w:t xml:space="preserve"> (from 9 December 2017)</w:t>
      </w:r>
      <w:r w:rsidR="00BE516B">
        <w:rPr>
          <w:b/>
          <w:sz w:val="24"/>
          <w:szCs w:val="24"/>
        </w:rPr>
        <w:t>.</w:t>
      </w:r>
    </w:p>
    <w:p w:rsidR="007D2018" w:rsidRDefault="008244AF" w:rsidP="003C21EB">
      <w:pPr>
        <w:pStyle w:val="Bullet1"/>
      </w:pPr>
      <w:r>
        <w:t>The type of celebrant you are</w:t>
      </w:r>
      <w:r w:rsidR="00D04D02">
        <w:t>—</w:t>
      </w:r>
      <w:r>
        <w:t>a</w:t>
      </w:r>
      <w:r w:rsidR="00D04D02">
        <w:t xml:space="preserve"> </w:t>
      </w:r>
      <w:r>
        <w:t xml:space="preserve">marriage celebrant or </w:t>
      </w:r>
      <w:r w:rsidR="00D04D02">
        <w:t xml:space="preserve">a </w:t>
      </w:r>
      <w:r>
        <w:t>religious marriage celebrant</w:t>
      </w:r>
      <w:r w:rsidR="00D04D02">
        <w:t>—</w:t>
      </w:r>
      <w:r w:rsidR="00BE516B">
        <w:t xml:space="preserve">must be included in all your advertising materials, </w:t>
      </w:r>
      <w:r w:rsidR="00A7177F">
        <w:t>online</w:t>
      </w:r>
      <w:r>
        <w:t xml:space="preserve"> media (</w:t>
      </w:r>
      <w:r w:rsidR="00BE516B">
        <w:t>website,</w:t>
      </w:r>
      <w:r w:rsidR="00A7177F">
        <w:t xml:space="preserve"> social media etc)</w:t>
      </w:r>
      <w:r>
        <w:t>,</w:t>
      </w:r>
      <w:r w:rsidR="00D04D02">
        <w:t xml:space="preserve"> </w:t>
      </w:r>
      <w:r>
        <w:t xml:space="preserve">business cards and </w:t>
      </w:r>
      <w:r w:rsidR="009E143F">
        <w:t xml:space="preserve">any </w:t>
      </w:r>
      <w:r w:rsidR="00566565">
        <w:t xml:space="preserve">other </w:t>
      </w:r>
      <w:r w:rsidR="009E143F">
        <w:t xml:space="preserve">documents </w:t>
      </w:r>
      <w:r w:rsidR="00566565">
        <w:t xml:space="preserve">you make available about your services </w:t>
      </w:r>
      <w:r>
        <w:t xml:space="preserve">to solemnise marriages </w:t>
      </w:r>
      <w:r w:rsidR="004B255A">
        <w:t>(</w:t>
      </w:r>
      <w:r>
        <w:t>paragraph </w:t>
      </w:r>
      <w:r w:rsidR="004B255A">
        <w:t>39G(1)(</w:t>
      </w:r>
      <w:r w:rsidR="00513231">
        <w:t>d</w:t>
      </w:r>
      <w:r w:rsidR="004B255A">
        <w:t>)</w:t>
      </w:r>
      <w:r>
        <w:t xml:space="preserve"> of the Marriage Act</w:t>
      </w:r>
      <w:r w:rsidR="004B255A">
        <w:t>)</w:t>
      </w:r>
      <w:r w:rsidR="00BE516B">
        <w:t>.</w:t>
      </w:r>
    </w:p>
    <w:p w:rsidR="00566565" w:rsidRPr="007D2018" w:rsidRDefault="00566565" w:rsidP="003C21EB">
      <w:pPr>
        <w:pStyle w:val="Bullet1"/>
        <w:numPr>
          <w:ilvl w:val="0"/>
          <w:numId w:val="0"/>
        </w:numPr>
        <w:ind w:left="567"/>
      </w:pPr>
      <w:r w:rsidRPr="00614068">
        <w:sym w:font="Wingdings" w:char="F046"/>
      </w:r>
      <w:r w:rsidRPr="00614068">
        <w:t xml:space="preserve">Handy hint </w:t>
      </w:r>
      <w:r>
        <w:t xml:space="preserve">– </w:t>
      </w:r>
      <w:r>
        <w:rPr>
          <w:lang w:val="en-US"/>
        </w:rPr>
        <w:t xml:space="preserve">This will </w:t>
      </w:r>
      <w:r w:rsidR="009E143F">
        <w:rPr>
          <w:lang w:val="en-US"/>
        </w:rPr>
        <w:t xml:space="preserve">assist </w:t>
      </w:r>
      <w:r>
        <w:rPr>
          <w:lang w:val="en-US"/>
        </w:rPr>
        <w:t xml:space="preserve">couples </w:t>
      </w:r>
      <w:r w:rsidR="009E143F">
        <w:rPr>
          <w:lang w:val="en-US"/>
        </w:rPr>
        <w:t xml:space="preserve">to identify those celebrants who solemnise marriages in accordance with their religious beliefs. </w:t>
      </w:r>
    </w:p>
    <w:p w:rsidR="00614068" w:rsidRPr="005E555A" w:rsidRDefault="00614068" w:rsidP="003C21EB">
      <w:pPr>
        <w:numPr>
          <w:ilvl w:val="0"/>
          <w:numId w:val="5"/>
        </w:numPr>
        <w:spacing w:before="240"/>
        <w:ind w:left="426" w:hanging="357"/>
        <w:jc w:val="both"/>
        <w:rPr>
          <w:b/>
          <w:sz w:val="24"/>
          <w:szCs w:val="24"/>
        </w:rPr>
      </w:pPr>
      <w:r w:rsidRPr="00FE7111">
        <w:rPr>
          <w:b/>
          <w:sz w:val="24"/>
          <w:szCs w:val="24"/>
        </w:rPr>
        <w:t>Make</w:t>
      </w:r>
      <w:r w:rsidRPr="005E555A">
        <w:rPr>
          <w:b/>
          <w:sz w:val="24"/>
          <w:szCs w:val="24"/>
        </w:rPr>
        <w:t xml:space="preserve"> sure any advertising material is accurate.</w:t>
      </w:r>
    </w:p>
    <w:p w:rsidR="00614068" w:rsidRPr="00614068" w:rsidRDefault="00614068" w:rsidP="003C21EB">
      <w:pPr>
        <w:pStyle w:val="Bullet1"/>
      </w:pPr>
      <w:r w:rsidRPr="00614068">
        <w:lastRenderedPageBreak/>
        <w:t xml:space="preserve">Consumer protection laws make it </w:t>
      </w:r>
      <w:hyperlink r:id="rId8" w:history="1">
        <w:r w:rsidRPr="007246C0">
          <w:rPr>
            <w:rStyle w:val="Hyperlink"/>
          </w:rPr>
          <w:t>illegal to mislead or deceive.</w:t>
        </w:r>
      </w:hyperlink>
    </w:p>
    <w:p w:rsidR="00614068" w:rsidRPr="00614068" w:rsidRDefault="00614068" w:rsidP="003C21EB">
      <w:pPr>
        <w:pStyle w:val="Bullet1"/>
        <w:numPr>
          <w:ilvl w:val="0"/>
          <w:numId w:val="0"/>
        </w:numPr>
        <w:ind w:left="567"/>
        <w:rPr>
          <w:lang w:eastAsia="en-AU"/>
        </w:rPr>
      </w:pPr>
      <w:r w:rsidRPr="00614068">
        <w:t xml:space="preserve">You should be aware of </w:t>
      </w:r>
      <w:hyperlink r:id="rId9" w:history="1">
        <w:r w:rsidRPr="00614068">
          <w:rPr>
            <w:lang w:eastAsia="en-AU"/>
          </w:rPr>
          <w:t>federal consumer protection</w:t>
        </w:r>
      </w:hyperlink>
      <w:r w:rsidRPr="00614068">
        <w:rPr>
          <w:lang w:eastAsia="en-AU"/>
        </w:rPr>
        <w:t xml:space="preserve"> </w:t>
      </w:r>
      <w:r w:rsidRPr="00614068">
        <w:t xml:space="preserve">and </w:t>
      </w:r>
      <w:hyperlink r:id="rId10" w:history="1">
        <w:r w:rsidRPr="00FF45F0">
          <w:rPr>
            <w:rStyle w:val="Hyperlink"/>
            <w:lang w:eastAsia="en-AU"/>
          </w:rPr>
          <w:t>state and territory fair trading laws</w:t>
        </w:r>
      </w:hyperlink>
      <w:r w:rsidRPr="00614068">
        <w:rPr>
          <w:lang w:eastAsia="en-AU"/>
        </w:rPr>
        <w:t xml:space="preserve"> </w:t>
      </w:r>
      <w:r w:rsidRPr="00614068">
        <w:t>relevant to your business.</w:t>
      </w:r>
      <w:r w:rsidRPr="00614068">
        <w:rPr>
          <w:lang w:eastAsia="en-AU"/>
        </w:rPr>
        <w:t xml:space="preserve"> </w:t>
      </w:r>
    </w:p>
    <w:p w:rsidR="00614068" w:rsidRPr="00614068" w:rsidRDefault="00614068" w:rsidP="003C21EB">
      <w:pPr>
        <w:pStyle w:val="Bullet1"/>
      </w:pPr>
      <w:r w:rsidRPr="00614068">
        <w:t xml:space="preserve">If you set out the legal requirements for solemnising a marriage, make sure they are correct (see Part 4 of the </w:t>
      </w:r>
      <w:hyperlink r:id="rId11" w:history="1">
        <w:r w:rsidRPr="00FF45F0">
          <w:rPr>
            <w:rStyle w:val="Hyperlink"/>
          </w:rPr>
          <w:t xml:space="preserve">Guidelines on the </w:t>
        </w:r>
        <w:r w:rsidRPr="00FF45F0">
          <w:rPr>
            <w:rStyle w:val="Hyperlink"/>
            <w:i/>
          </w:rPr>
          <w:t>Marriage Act 1961</w:t>
        </w:r>
        <w:r w:rsidRPr="00FF45F0">
          <w:rPr>
            <w:rStyle w:val="Hyperlink"/>
          </w:rPr>
          <w:t xml:space="preserve"> for Marriage Celebrants)</w:t>
        </w:r>
      </w:hyperlink>
      <w:r w:rsidR="00FF45F0">
        <w:t>.</w:t>
      </w:r>
      <w:r w:rsidR="00FF45F0" w:rsidRPr="00614068">
        <w:t xml:space="preserve"> </w:t>
      </w:r>
    </w:p>
    <w:p w:rsidR="00614068" w:rsidRPr="005E555A" w:rsidRDefault="00614068" w:rsidP="003C21EB">
      <w:pPr>
        <w:numPr>
          <w:ilvl w:val="0"/>
          <w:numId w:val="5"/>
        </w:numPr>
        <w:spacing w:before="240"/>
        <w:ind w:left="426" w:hanging="357"/>
        <w:jc w:val="both"/>
        <w:rPr>
          <w:b/>
          <w:sz w:val="24"/>
          <w:szCs w:val="24"/>
        </w:rPr>
      </w:pPr>
      <w:r w:rsidRPr="005E555A">
        <w:rPr>
          <w:b/>
          <w:sz w:val="24"/>
          <w:szCs w:val="24"/>
        </w:rPr>
        <w:t xml:space="preserve">Be clear about </w:t>
      </w:r>
      <w:r>
        <w:rPr>
          <w:b/>
          <w:sz w:val="24"/>
          <w:szCs w:val="24"/>
        </w:rPr>
        <w:t xml:space="preserve">the </w:t>
      </w:r>
      <w:r w:rsidRPr="005E555A">
        <w:rPr>
          <w:b/>
          <w:sz w:val="24"/>
          <w:szCs w:val="24"/>
        </w:rPr>
        <w:t>types of ceremonies you offer.</w:t>
      </w:r>
    </w:p>
    <w:p w:rsidR="00614068" w:rsidRPr="00614068" w:rsidRDefault="00614068" w:rsidP="003C21EB">
      <w:pPr>
        <w:pStyle w:val="Bullet1"/>
      </w:pPr>
      <w:r w:rsidRPr="00614068">
        <w:t>Marrying couples are more likely to have realistic expectations if you are clear about the</w:t>
      </w:r>
      <w:r>
        <w:t xml:space="preserve"> types of marriage services you provide.</w:t>
      </w:r>
    </w:p>
    <w:p w:rsidR="00614068" w:rsidRPr="00614068" w:rsidRDefault="00614068" w:rsidP="003C21EB">
      <w:pPr>
        <w:pStyle w:val="Bullet1"/>
        <w:numPr>
          <w:ilvl w:val="0"/>
          <w:numId w:val="0"/>
        </w:numPr>
        <w:ind w:left="567"/>
      </w:pPr>
      <w:r w:rsidRPr="00614068">
        <w:t xml:space="preserve">Example – the phrase </w:t>
      </w:r>
      <w:r w:rsidR="008244AF">
        <w:t>‘</w:t>
      </w:r>
      <w:r w:rsidRPr="00614068">
        <w:t>Registry weddings</w:t>
      </w:r>
      <w:r w:rsidR="008244AF">
        <w:t>’</w:t>
      </w:r>
      <w:r w:rsidRPr="00614068">
        <w:t xml:space="preserve"> is often used to mean small, less formal weddings</w:t>
      </w:r>
      <w:r>
        <w:t xml:space="preserve">; but it could also  mean weddings performed by officials at state and territory registries of births, deaths and marriages.  Use </w:t>
      </w:r>
      <w:r w:rsidR="00D04D02">
        <w:t>‘</w:t>
      </w:r>
      <w:r>
        <w:t>registry-style weddings</w:t>
      </w:r>
      <w:r w:rsidR="00D04D02">
        <w:t>’</w:t>
      </w:r>
      <w:r>
        <w:t xml:space="preserve"> instead to make it clear</w:t>
      </w:r>
      <w:r w:rsidR="00D04D02">
        <w:t xml:space="preserve"> what services you offer</w:t>
      </w:r>
      <w:r>
        <w:t>.</w:t>
      </w:r>
    </w:p>
    <w:p w:rsidR="00614068" w:rsidRPr="005E555A" w:rsidRDefault="00614068" w:rsidP="003C21EB">
      <w:pPr>
        <w:numPr>
          <w:ilvl w:val="0"/>
          <w:numId w:val="5"/>
        </w:numPr>
        <w:spacing w:before="240"/>
        <w:ind w:left="426" w:hanging="357"/>
        <w:jc w:val="both"/>
        <w:rPr>
          <w:b/>
          <w:sz w:val="24"/>
          <w:szCs w:val="24"/>
        </w:rPr>
      </w:pPr>
      <w:r w:rsidRPr="005E555A">
        <w:rPr>
          <w:b/>
          <w:sz w:val="24"/>
          <w:szCs w:val="24"/>
        </w:rPr>
        <w:t>Give couples sufficient contact information.</w:t>
      </w:r>
    </w:p>
    <w:p w:rsidR="00614068" w:rsidRPr="00614068" w:rsidRDefault="00614068" w:rsidP="003C21EB">
      <w:pPr>
        <w:pStyle w:val="Bullet1"/>
      </w:pPr>
      <w:r w:rsidRPr="00614068">
        <w:t>Provide several alternatives if possible.</w:t>
      </w:r>
    </w:p>
    <w:p w:rsidR="00614068" w:rsidRPr="00614068" w:rsidRDefault="00614068" w:rsidP="003C21EB">
      <w:pPr>
        <w:pStyle w:val="Bullet1"/>
        <w:numPr>
          <w:ilvl w:val="0"/>
          <w:numId w:val="0"/>
        </w:numPr>
        <w:ind w:left="567"/>
      </w:pPr>
      <w:r w:rsidRPr="00614068">
        <w:sym w:font="Wingdings" w:char="F046"/>
      </w:r>
      <w:r w:rsidRPr="00614068">
        <w:t>Handy hint – If you change your contact details, inform the Registrar of Marriage Celebrants by email [</w:t>
      </w:r>
      <w:hyperlink r:id="rId12" w:history="1">
        <w:r w:rsidRPr="00614068">
          <w:rPr>
            <w:color w:val="0000FF"/>
            <w:u w:val="single"/>
          </w:rPr>
          <w:t>marriagecelebrantssection@ag.gov.au</w:t>
        </w:r>
      </w:hyperlink>
      <w:r w:rsidRPr="00614068">
        <w:t>]</w:t>
      </w:r>
      <w:r w:rsidR="00270B59">
        <w:t xml:space="preserve">. </w:t>
      </w:r>
      <w:r>
        <w:t>This is a requirement under the Marriage Act; you must do</w:t>
      </w:r>
      <w:r w:rsidRPr="00614068">
        <w:t xml:space="preserve"> this in order to stay registered.</w:t>
      </w:r>
    </w:p>
    <w:p w:rsidR="00614068" w:rsidRPr="005E555A" w:rsidRDefault="00614068" w:rsidP="003C21EB">
      <w:pPr>
        <w:numPr>
          <w:ilvl w:val="0"/>
          <w:numId w:val="5"/>
        </w:numPr>
        <w:spacing w:before="240"/>
        <w:ind w:left="426" w:hanging="357"/>
        <w:jc w:val="both"/>
        <w:rPr>
          <w:b/>
          <w:sz w:val="24"/>
          <w:szCs w:val="24"/>
        </w:rPr>
      </w:pPr>
      <w:r w:rsidRPr="005E555A">
        <w:rPr>
          <w:b/>
          <w:sz w:val="24"/>
          <w:szCs w:val="24"/>
        </w:rPr>
        <w:t>Set out your standard terms and conditions.</w:t>
      </w:r>
    </w:p>
    <w:p w:rsidR="00614068" w:rsidRPr="00614068" w:rsidRDefault="00614068" w:rsidP="003C21EB">
      <w:pPr>
        <w:pStyle w:val="Bullet1"/>
      </w:pPr>
      <w:r w:rsidRPr="00614068">
        <w:t>A standard agreement, while not obligatory, can help the couple to have realistic expectations and may prevent disagreements.</w:t>
      </w:r>
    </w:p>
    <w:p w:rsidR="00614068" w:rsidRPr="00614068" w:rsidRDefault="00614068" w:rsidP="003C21EB">
      <w:pPr>
        <w:pStyle w:val="Bullet1"/>
      </w:pPr>
      <w:r w:rsidRPr="00614068">
        <w:t>Consider putting your standard agreement on your website or giving it to couples upfront.</w:t>
      </w:r>
    </w:p>
    <w:p w:rsidR="00614068" w:rsidRPr="005E555A" w:rsidRDefault="00614068" w:rsidP="003C21EB">
      <w:pPr>
        <w:pStyle w:val="Bullet1"/>
        <w:rPr>
          <w:sz w:val="24"/>
          <w:szCs w:val="24"/>
        </w:rPr>
      </w:pPr>
      <w:r w:rsidRPr="00614068">
        <w:t>A service agreement may include:</w:t>
      </w:r>
    </w:p>
    <w:p w:rsidR="00614068" w:rsidRPr="00614068" w:rsidRDefault="00614068" w:rsidP="003C21EB">
      <w:pPr>
        <w:pStyle w:val="ListBullet"/>
        <w:ind w:left="1434" w:hanging="357"/>
        <w:contextualSpacing w:val="0"/>
      </w:pPr>
      <w:r w:rsidRPr="00614068">
        <w:t>When and how a deposit will be refunded if arrangements fall through.</w:t>
      </w:r>
    </w:p>
    <w:p w:rsidR="00614068" w:rsidRPr="00614068" w:rsidRDefault="00614068" w:rsidP="003C21EB">
      <w:pPr>
        <w:pStyle w:val="ListBullet"/>
        <w:numPr>
          <w:ilvl w:val="0"/>
          <w:numId w:val="0"/>
        </w:numPr>
        <w:ind w:left="1434"/>
        <w:contextualSpacing w:val="0"/>
      </w:pPr>
      <w:r w:rsidRPr="00614068">
        <w:sym w:font="Wingdings" w:char="F046"/>
      </w:r>
      <w:r w:rsidRPr="00614068">
        <w:t xml:space="preserve"> Handy hint – Celebrants sometimes say in their service agreements that the couple’s deposit is not refundable after ‘lodgement of the notice of intended marriage (NOIM)’. </w:t>
      </w:r>
    </w:p>
    <w:p w:rsidR="00614068" w:rsidRPr="00614068" w:rsidRDefault="00614068" w:rsidP="003C21EB">
      <w:pPr>
        <w:pStyle w:val="ListBullet"/>
        <w:numPr>
          <w:ilvl w:val="0"/>
          <w:numId w:val="0"/>
        </w:numPr>
        <w:ind w:left="1434"/>
        <w:contextualSpacing w:val="0"/>
      </w:pPr>
      <w:r w:rsidRPr="00614068">
        <w:t xml:space="preserve">In this situation, celebrants usually mean that the deposit will not be refunded once they have received the NOIM from a couple.  Couples, on the other hand, often take this to mean that a refund of the deposit will not occur after the NOIM has been lodged with the registry of births, deaths and marriages. </w:t>
      </w:r>
    </w:p>
    <w:p w:rsidR="00614068" w:rsidRPr="00614068" w:rsidRDefault="00614068" w:rsidP="003C21EB">
      <w:pPr>
        <w:pStyle w:val="ListBullet"/>
        <w:numPr>
          <w:ilvl w:val="0"/>
          <w:numId w:val="0"/>
        </w:numPr>
        <w:ind w:left="1434"/>
        <w:contextualSpacing w:val="0"/>
      </w:pPr>
      <w:r w:rsidRPr="00614068">
        <w:t>Simply replacing the words ‘lodgement of the NOIM’ with ‘receipt of the NOIM’ may prevent future disputes.</w:t>
      </w:r>
    </w:p>
    <w:p w:rsidR="00614068" w:rsidRPr="00614068" w:rsidRDefault="00614068" w:rsidP="003C21EB">
      <w:pPr>
        <w:pStyle w:val="ListBullet"/>
        <w:ind w:left="1434" w:hanging="357"/>
        <w:contextualSpacing w:val="0"/>
      </w:pPr>
      <w:r w:rsidRPr="00614068">
        <w:t>How and when rehearsals will occur.</w:t>
      </w:r>
    </w:p>
    <w:p w:rsidR="00614068" w:rsidRPr="00614068" w:rsidRDefault="00614068" w:rsidP="003C21EB">
      <w:pPr>
        <w:pStyle w:val="ListBullet"/>
        <w:ind w:left="1434" w:hanging="357"/>
        <w:contextualSpacing w:val="0"/>
      </w:pPr>
      <w:r w:rsidRPr="00614068">
        <w:t>Whether you charge for travel to the wedding venue.</w:t>
      </w:r>
    </w:p>
    <w:p w:rsidR="00614068" w:rsidRPr="00614068" w:rsidRDefault="00614068" w:rsidP="003C21EB">
      <w:pPr>
        <w:pStyle w:val="ListBullet"/>
        <w:ind w:left="1434" w:hanging="357"/>
        <w:contextualSpacing w:val="0"/>
      </w:pPr>
      <w:r w:rsidRPr="00614068">
        <w:t>What equipment you will or will not provide.</w:t>
      </w:r>
    </w:p>
    <w:p w:rsidR="00614068" w:rsidRPr="00614068" w:rsidRDefault="00614068" w:rsidP="003C21EB">
      <w:pPr>
        <w:pStyle w:val="Bullet1"/>
      </w:pPr>
      <w:r w:rsidRPr="00614068">
        <w:lastRenderedPageBreak/>
        <w:t>The Registrar receives many complaints each year about issues which could be addressed in service agreements.  A comprehensive agreement can help you avoid disagreements and complaints.</w:t>
      </w:r>
    </w:p>
    <w:p w:rsidR="00614068" w:rsidRPr="005E555A" w:rsidRDefault="00614068" w:rsidP="00D04D02">
      <w:pPr>
        <w:keepNext/>
        <w:numPr>
          <w:ilvl w:val="0"/>
          <w:numId w:val="4"/>
        </w:numPr>
        <w:ind w:left="426"/>
        <w:jc w:val="both"/>
        <w:rPr>
          <w:b/>
          <w:sz w:val="24"/>
          <w:szCs w:val="24"/>
        </w:rPr>
      </w:pPr>
      <w:r w:rsidRPr="005E555A">
        <w:rPr>
          <w:b/>
          <w:sz w:val="24"/>
          <w:szCs w:val="24"/>
        </w:rPr>
        <w:t xml:space="preserve">Do not copy or plagiarise other people’s advertisements, text, images or audio visual </w:t>
      </w:r>
      <w:r>
        <w:rPr>
          <w:b/>
          <w:sz w:val="24"/>
          <w:szCs w:val="24"/>
        </w:rPr>
        <w:t xml:space="preserve">material </w:t>
      </w:r>
      <w:r w:rsidRPr="005E555A">
        <w:rPr>
          <w:b/>
          <w:sz w:val="24"/>
          <w:szCs w:val="24"/>
        </w:rPr>
        <w:t>without permission.</w:t>
      </w:r>
    </w:p>
    <w:p w:rsidR="00614068" w:rsidRPr="00614068" w:rsidRDefault="00614068" w:rsidP="00D04D02">
      <w:pPr>
        <w:pStyle w:val="Bullet1"/>
        <w:keepNext/>
      </w:pPr>
      <w:r w:rsidRPr="00614068">
        <w:t xml:space="preserve">Contravening </w:t>
      </w:r>
      <w:hyperlink r:id="rId13" w:history="1">
        <w:r w:rsidRPr="00614068">
          <w:rPr>
            <w:color w:val="0000FF"/>
            <w:u w:val="single"/>
          </w:rPr>
          <w:t>copyright law</w:t>
        </w:r>
      </w:hyperlink>
      <w:r w:rsidRPr="00614068">
        <w:t xml:space="preserve"> can have significant civil and criminal penalties.</w:t>
      </w:r>
    </w:p>
    <w:p w:rsidR="00614068" w:rsidRPr="00614068" w:rsidRDefault="00614068" w:rsidP="003C21EB">
      <w:pPr>
        <w:pStyle w:val="Bullet1"/>
      </w:pPr>
      <w:r w:rsidRPr="00614068">
        <w:t>Other celebrants may also be able to take legal action against you for “passing off” (or pretending to be another celebrant’s business).</w:t>
      </w:r>
    </w:p>
    <w:p w:rsidR="00614068" w:rsidRPr="00614068" w:rsidRDefault="00614068" w:rsidP="003C21EB">
      <w:pPr>
        <w:pStyle w:val="Bullet1"/>
      </w:pPr>
      <w:r w:rsidRPr="00614068">
        <w:t>A copyright licence is unlikely to cover copying material from other celebrants’ websites.</w:t>
      </w:r>
    </w:p>
    <w:p w:rsidR="00614068" w:rsidRPr="005E555A" w:rsidRDefault="00614068" w:rsidP="003C21EB">
      <w:pPr>
        <w:numPr>
          <w:ilvl w:val="0"/>
          <w:numId w:val="4"/>
        </w:numPr>
        <w:ind w:left="426"/>
        <w:jc w:val="both"/>
        <w:rPr>
          <w:b/>
          <w:sz w:val="24"/>
          <w:szCs w:val="24"/>
        </w:rPr>
      </w:pPr>
      <w:r w:rsidRPr="005E555A">
        <w:rPr>
          <w:b/>
          <w:sz w:val="24"/>
          <w:szCs w:val="24"/>
        </w:rPr>
        <w:t>Do not provide advice when you are not authorised to do so, for example</w:t>
      </w:r>
      <w:r w:rsidR="00FF45F0">
        <w:rPr>
          <w:b/>
          <w:sz w:val="24"/>
          <w:szCs w:val="24"/>
        </w:rPr>
        <w:t>,</w:t>
      </w:r>
      <w:r w:rsidRPr="005E555A">
        <w:rPr>
          <w:b/>
          <w:sz w:val="24"/>
          <w:szCs w:val="24"/>
        </w:rPr>
        <w:t xml:space="preserve"> about prospective marriage or spouse visas</w:t>
      </w:r>
      <w:r>
        <w:rPr>
          <w:b/>
          <w:sz w:val="24"/>
          <w:szCs w:val="24"/>
        </w:rPr>
        <w:t>.</w:t>
      </w:r>
    </w:p>
    <w:p w:rsidR="00614068" w:rsidRPr="003C21EB" w:rsidRDefault="00614068" w:rsidP="003C21EB">
      <w:pPr>
        <w:pStyle w:val="Bullet1"/>
      </w:pPr>
      <w:r w:rsidRPr="00FE7111">
        <w:t>As a marriage celebrant, you should not provide a</w:t>
      </w:r>
      <w:r w:rsidRPr="009E143F">
        <w:t xml:space="preserve">dvice on migration matters.  Section 280 of the </w:t>
      </w:r>
      <w:r w:rsidRPr="003C21EB">
        <w:rPr>
          <w:i/>
        </w:rPr>
        <w:t>Migration Act 1958</w:t>
      </w:r>
      <w:r w:rsidRPr="00FE7111">
        <w:t xml:space="preserve"> states that a person who is not a migration agent must not give immigration assistance.  You should be aware that heavy penalties apply.  </w:t>
      </w:r>
    </w:p>
    <w:p w:rsidR="00614068" w:rsidRPr="003C21EB" w:rsidRDefault="00614068" w:rsidP="003C21EB">
      <w:pPr>
        <w:pStyle w:val="Bullet1"/>
      </w:pPr>
      <w:r w:rsidRPr="003C21EB">
        <w:t xml:space="preserve">You can refer couples to the </w:t>
      </w:r>
      <w:hyperlink r:id="rId14" w:history="1">
        <w:r w:rsidR="00CB0FF4" w:rsidRPr="003C21EB">
          <w:rPr>
            <w:rStyle w:val="Hyperlink"/>
            <w:color w:val="auto"/>
            <w:u w:val="none"/>
          </w:rPr>
          <w:t>Department of Immigration and Border Protection</w:t>
        </w:r>
      </w:hyperlink>
      <w:r w:rsidR="00CB0FF4" w:rsidRPr="00FE7111">
        <w:t xml:space="preserve"> </w:t>
      </w:r>
      <w:r w:rsidRPr="009E143F">
        <w:t>website for information on visas an</w:t>
      </w:r>
      <w:r w:rsidRPr="003C21EB">
        <w:t>d immigration-related matters.</w:t>
      </w:r>
    </w:p>
    <w:p w:rsidR="00614068" w:rsidRPr="003C21EB" w:rsidRDefault="00614068" w:rsidP="003C21EB">
      <w:pPr>
        <w:pStyle w:val="Bullet1"/>
      </w:pPr>
      <w:r w:rsidRPr="003C21EB">
        <w:t xml:space="preserve">Alternatively, you may suggest that couples seek the advice of a </w:t>
      </w:r>
      <w:hyperlink r:id="rId15" w:history="1">
        <w:r w:rsidRPr="003C21EB">
          <w:t>registered migration agent</w:t>
        </w:r>
      </w:hyperlink>
      <w:r w:rsidRPr="00FE7111">
        <w:t xml:space="preserve"> for information on applying for marriage visas.</w:t>
      </w:r>
    </w:p>
    <w:p w:rsidR="00614068" w:rsidRPr="00614068" w:rsidRDefault="00614068" w:rsidP="00BB72B0">
      <w:pPr>
        <w:ind w:left="720"/>
        <w:jc w:val="both"/>
      </w:pPr>
    </w:p>
    <w:sectPr w:rsidR="00614068" w:rsidRPr="00614068" w:rsidSect="008244A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720" w:bottom="1135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1C" w:rsidRDefault="005A731C" w:rsidP="007D070A">
      <w:pPr>
        <w:spacing w:after="0" w:line="240" w:lineRule="auto"/>
      </w:pPr>
      <w:r>
        <w:separator/>
      </w:r>
    </w:p>
  </w:endnote>
  <w:endnote w:type="continuationSeparator" w:id="0">
    <w:p w:rsidR="005A731C" w:rsidRDefault="005A731C" w:rsidP="007D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6A" w:rsidRDefault="00A733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133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070A" w:rsidRDefault="007D070A" w:rsidP="003C21EB">
        <w:pPr>
          <w:pStyle w:val="Footer"/>
        </w:pPr>
        <w:r w:rsidRPr="005A3343">
          <w:rPr>
            <w:noProof/>
            <w:lang w:eastAsia="en-AU"/>
          </w:rPr>
          <w:drawing>
            <wp:anchor distT="0" distB="0" distL="114300" distR="114300" simplePos="0" relativeHeight="251661312" behindDoc="1" locked="0" layoutInCell="1" allowOverlap="1" wp14:anchorId="0B4C53F4" wp14:editId="0B4C53F5">
              <wp:simplePos x="0" y="0"/>
              <wp:positionH relativeFrom="column">
                <wp:posOffset>-257175</wp:posOffset>
              </wp:positionH>
              <wp:positionV relativeFrom="paragraph">
                <wp:posOffset>-83185</wp:posOffset>
              </wp:positionV>
              <wp:extent cx="7172325" cy="76200"/>
              <wp:effectExtent l="0" t="0" r="9525" b="0"/>
              <wp:wrapNone/>
              <wp:docPr id="4" name="Picture 4" descr="Horizontal line.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actdc01fs01p\user_folder$\jonesj\Desktop\stripe.jpg"/>
                      <pic:cNvPicPr preferRelativeResize="0"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72325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B0FF4">
          <w:t>Guidelines on advertising for Commonwealth-registered marriage celebrants</w:t>
        </w:r>
        <w:r w:rsidR="009E143F">
          <w:tab/>
        </w:r>
        <w:r w:rsidR="009E143F">
          <w:tab/>
        </w:r>
        <w:r w:rsidR="009E143F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3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070A" w:rsidRDefault="007D07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6A" w:rsidRDefault="00A733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1C" w:rsidRDefault="005A731C" w:rsidP="007D070A">
      <w:pPr>
        <w:spacing w:after="0" w:line="240" w:lineRule="auto"/>
      </w:pPr>
      <w:r>
        <w:separator/>
      </w:r>
    </w:p>
  </w:footnote>
  <w:footnote w:type="continuationSeparator" w:id="0">
    <w:p w:rsidR="005A731C" w:rsidRDefault="005A731C" w:rsidP="007D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6A" w:rsidRDefault="00A733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6A" w:rsidRDefault="00A733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36A" w:rsidRDefault="00A733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21B"/>
    <w:multiLevelType w:val="hybridMultilevel"/>
    <w:tmpl w:val="6DC482EC"/>
    <w:lvl w:ilvl="0" w:tplc="CB249E2C">
      <w:numFmt w:val="bullet"/>
      <w:lvlText w:val="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61EBE"/>
    <w:multiLevelType w:val="hybridMultilevel"/>
    <w:tmpl w:val="378EB532"/>
    <w:lvl w:ilvl="0" w:tplc="5798EB9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035EE4"/>
    <w:multiLevelType w:val="hybridMultilevel"/>
    <w:tmpl w:val="4A7AB0E2"/>
    <w:lvl w:ilvl="0" w:tplc="38F21FAC">
      <w:numFmt w:val="bullet"/>
      <w:lvlText w:val=""/>
      <w:lvlJc w:val="left"/>
      <w:pPr>
        <w:ind w:left="6" w:hanging="360"/>
      </w:pPr>
      <w:rPr>
        <w:rFonts w:ascii="Wingdings 2" w:eastAsia="Calibri" w:hAnsi="Wingdings 2" w:cs="Times New Roman" w:hint="default"/>
      </w:rPr>
    </w:lvl>
    <w:lvl w:ilvl="1" w:tplc="0C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" w15:restartNumberingAfterBreak="0">
    <w:nsid w:val="35ED0593"/>
    <w:multiLevelType w:val="hybridMultilevel"/>
    <w:tmpl w:val="D316A13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798EB9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15FB9"/>
    <w:multiLevelType w:val="hybridMultilevel"/>
    <w:tmpl w:val="4774B398"/>
    <w:lvl w:ilvl="0" w:tplc="75F8333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5C5C5C"/>
      </w:rPr>
    </w:lvl>
    <w:lvl w:ilvl="1" w:tplc="87E4CA92">
      <w:start w:val="1"/>
      <w:numFmt w:val="bullet"/>
      <w:pStyle w:val="ListBullet"/>
      <w:lvlText w:val=""/>
      <w:lvlJc w:val="left"/>
      <w:pPr>
        <w:ind w:left="1353" w:hanging="360"/>
      </w:pPr>
      <w:rPr>
        <w:rFonts w:ascii="Symbol" w:hAnsi="Symbol" w:hint="default"/>
        <w:color w:val="4D738A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F6797"/>
    <w:multiLevelType w:val="hybridMultilevel"/>
    <w:tmpl w:val="94F63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0A"/>
    <w:rsid w:val="000A0982"/>
    <w:rsid w:val="00107B46"/>
    <w:rsid w:val="00120E59"/>
    <w:rsid w:val="00124B36"/>
    <w:rsid w:val="002656B9"/>
    <w:rsid w:val="00270B59"/>
    <w:rsid w:val="002755B0"/>
    <w:rsid w:val="00364C6E"/>
    <w:rsid w:val="003C21EB"/>
    <w:rsid w:val="00441019"/>
    <w:rsid w:val="004B255A"/>
    <w:rsid w:val="00513231"/>
    <w:rsid w:val="00526E99"/>
    <w:rsid w:val="0053665B"/>
    <w:rsid w:val="0055268B"/>
    <w:rsid w:val="00566565"/>
    <w:rsid w:val="005A731C"/>
    <w:rsid w:val="005E0E19"/>
    <w:rsid w:val="00614068"/>
    <w:rsid w:val="00646407"/>
    <w:rsid w:val="00647976"/>
    <w:rsid w:val="00691C6B"/>
    <w:rsid w:val="0069686D"/>
    <w:rsid w:val="007246C0"/>
    <w:rsid w:val="007423F9"/>
    <w:rsid w:val="007D070A"/>
    <w:rsid w:val="007D2018"/>
    <w:rsid w:val="007E4C0F"/>
    <w:rsid w:val="008244AF"/>
    <w:rsid w:val="008D2A33"/>
    <w:rsid w:val="009E143F"/>
    <w:rsid w:val="009F0947"/>
    <w:rsid w:val="009F2997"/>
    <w:rsid w:val="009F3DC3"/>
    <w:rsid w:val="00A0179C"/>
    <w:rsid w:val="00A57317"/>
    <w:rsid w:val="00A7177F"/>
    <w:rsid w:val="00A7336A"/>
    <w:rsid w:val="00A87B8B"/>
    <w:rsid w:val="00A97F7C"/>
    <w:rsid w:val="00B60F71"/>
    <w:rsid w:val="00B75CDB"/>
    <w:rsid w:val="00BB72B0"/>
    <w:rsid w:val="00BE516B"/>
    <w:rsid w:val="00BF695D"/>
    <w:rsid w:val="00C03F3B"/>
    <w:rsid w:val="00C22615"/>
    <w:rsid w:val="00C735A3"/>
    <w:rsid w:val="00CB0FF4"/>
    <w:rsid w:val="00CD40FF"/>
    <w:rsid w:val="00D04D02"/>
    <w:rsid w:val="00D55DBC"/>
    <w:rsid w:val="00D636DD"/>
    <w:rsid w:val="00D7721E"/>
    <w:rsid w:val="00D9331D"/>
    <w:rsid w:val="00DB2A8D"/>
    <w:rsid w:val="00E5067A"/>
    <w:rsid w:val="00E97FA4"/>
    <w:rsid w:val="00F075E5"/>
    <w:rsid w:val="00FE5CD3"/>
    <w:rsid w:val="00FE7111"/>
    <w:rsid w:val="00FE7A63"/>
    <w:rsid w:val="00FF2D93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70A"/>
    <w:rPr>
      <w:rFonts w:ascii="Calibri" w:eastAsia="Calibri" w:hAnsi="Calibri" w:cs="Calibri"/>
      <w:w w:val="105"/>
      <w:kern w:val="4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70A"/>
    <w:pPr>
      <w:keepNext/>
      <w:spacing w:after="0" w:line="240" w:lineRule="auto"/>
      <w:jc w:val="right"/>
      <w:outlineLvl w:val="0"/>
    </w:pPr>
    <w:rPr>
      <w:rFonts w:eastAsia="SimSun" w:cs="Angsana New"/>
      <w:b/>
      <w:bCs/>
      <w:color w:val="404040"/>
      <w:kern w:val="3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70A"/>
    <w:pPr>
      <w:keepNext/>
      <w:spacing w:before="240" w:after="60" w:line="240" w:lineRule="auto"/>
      <w:outlineLvl w:val="1"/>
    </w:pPr>
    <w:rPr>
      <w:rFonts w:eastAsia="SimSun" w:cs="Angsana New"/>
      <w:b/>
      <w:bCs/>
      <w:iCs/>
      <w:color w:val="4D738A"/>
      <w:sz w:val="40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070A"/>
    <w:pPr>
      <w:keepNext/>
      <w:spacing w:after="60" w:line="240" w:lineRule="auto"/>
      <w:outlineLvl w:val="2"/>
    </w:pPr>
    <w:rPr>
      <w:rFonts w:eastAsia="SimSun" w:cs="Angsana New"/>
      <w:b/>
      <w:bCs/>
      <w:color w:val="404040"/>
      <w:sz w:val="32"/>
      <w:szCs w:val="3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D070A"/>
    <w:pPr>
      <w:outlineLvl w:val="3"/>
    </w:pPr>
    <w:rPr>
      <w:color w:val="595959" w:themeColor="text1" w:themeTint="A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70A"/>
  </w:style>
  <w:style w:type="paragraph" w:styleId="Footer">
    <w:name w:val="footer"/>
    <w:basedOn w:val="Normal"/>
    <w:link w:val="FooterChar"/>
    <w:uiPriority w:val="99"/>
    <w:unhideWhenUsed/>
    <w:rsid w:val="007D0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70A"/>
  </w:style>
  <w:style w:type="character" w:customStyle="1" w:styleId="Heading1Char">
    <w:name w:val="Heading 1 Char"/>
    <w:basedOn w:val="DefaultParagraphFont"/>
    <w:link w:val="Heading1"/>
    <w:uiPriority w:val="9"/>
    <w:rsid w:val="007D070A"/>
    <w:rPr>
      <w:rFonts w:ascii="Calibri" w:eastAsia="SimSun" w:hAnsi="Calibri" w:cs="Angsana New"/>
      <w:b/>
      <w:bCs/>
      <w:color w:val="404040"/>
      <w:w w:val="105"/>
      <w:kern w:val="3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D070A"/>
    <w:rPr>
      <w:rFonts w:ascii="Calibri" w:eastAsia="SimSun" w:hAnsi="Calibri" w:cs="Angsana New"/>
      <w:b/>
      <w:bCs/>
      <w:iCs/>
      <w:color w:val="4D738A"/>
      <w:w w:val="105"/>
      <w:kern w:val="40"/>
      <w:sz w:val="40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D070A"/>
    <w:rPr>
      <w:rFonts w:ascii="Calibri" w:eastAsia="SimSun" w:hAnsi="Calibri" w:cs="Angsana New"/>
      <w:b/>
      <w:bCs/>
      <w:color w:val="404040"/>
      <w:w w:val="105"/>
      <w:kern w:val="4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D070A"/>
    <w:rPr>
      <w:rFonts w:ascii="Calibri" w:eastAsia="SimSun" w:hAnsi="Calibri" w:cs="Angsana New"/>
      <w:b/>
      <w:bCs/>
      <w:color w:val="595959" w:themeColor="text1" w:themeTint="A6"/>
      <w:w w:val="105"/>
      <w:kern w:val="40"/>
      <w:sz w:val="2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7D070A"/>
    <w:pPr>
      <w:pBdr>
        <w:bottom w:val="none" w:sz="0" w:space="0" w:color="auto"/>
      </w:pBdr>
      <w:spacing w:before="240" w:after="60"/>
      <w:contextualSpacing w:val="0"/>
      <w:jc w:val="right"/>
      <w:outlineLvl w:val="0"/>
    </w:pPr>
    <w:rPr>
      <w:rFonts w:ascii="Calibri" w:eastAsia="SimSun" w:hAnsi="Calibri" w:cs="Angsana New"/>
      <w:b/>
      <w:bCs/>
      <w:noProof/>
      <w:color w:val="auto"/>
      <w:spacing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070A"/>
    <w:rPr>
      <w:rFonts w:ascii="Calibri" w:eastAsia="SimSun" w:hAnsi="Calibri" w:cs="Angsana New"/>
      <w:b/>
      <w:bCs/>
      <w:noProof/>
      <w:w w:val="105"/>
      <w:kern w:val="28"/>
      <w:sz w:val="28"/>
      <w:szCs w:val="28"/>
    </w:rPr>
  </w:style>
  <w:style w:type="paragraph" w:customStyle="1" w:styleId="Bullet1">
    <w:name w:val="Bullet 1"/>
    <w:basedOn w:val="ListBullet2"/>
    <w:autoRedefine/>
    <w:qFormat/>
    <w:rsid w:val="008244AF"/>
    <w:pPr>
      <w:numPr>
        <w:ilvl w:val="0"/>
      </w:numPr>
      <w:ind w:left="567" w:hanging="567"/>
      <w:contextualSpacing w:val="0"/>
    </w:pPr>
  </w:style>
  <w:style w:type="paragraph" w:styleId="ListBullet2">
    <w:name w:val="List Bullet 2"/>
    <w:basedOn w:val="ListBullet"/>
    <w:autoRedefine/>
    <w:uiPriority w:val="99"/>
    <w:unhideWhenUsed/>
    <w:qFormat/>
    <w:rsid w:val="007D070A"/>
    <w:pPr>
      <w:ind w:left="1134" w:hanging="567"/>
    </w:pPr>
  </w:style>
  <w:style w:type="paragraph" w:styleId="ListBullet">
    <w:name w:val="List Bullet"/>
    <w:aliases w:val="List Bullet 1"/>
    <w:basedOn w:val="Normal"/>
    <w:uiPriority w:val="99"/>
    <w:unhideWhenUsed/>
    <w:rsid w:val="007D070A"/>
    <w:pPr>
      <w:numPr>
        <w:ilvl w:val="1"/>
        <w:numId w:val="1"/>
      </w:numPr>
      <w:ind w:left="144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D07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070A"/>
    <w:rPr>
      <w:rFonts w:asciiTheme="majorHAnsi" w:eastAsiaTheme="majorEastAsia" w:hAnsiTheme="majorHAnsi" w:cstheme="majorBidi"/>
      <w:color w:val="17365D" w:themeColor="text2" w:themeShade="BF"/>
      <w:spacing w:val="5"/>
      <w:w w:val="10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140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B46"/>
    <w:rPr>
      <w:rFonts w:ascii="Tahoma" w:eastAsia="Calibri" w:hAnsi="Tahoma" w:cs="Tahoma"/>
      <w:w w:val="105"/>
      <w:kern w:val="4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B0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F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FF4"/>
    <w:rPr>
      <w:rFonts w:ascii="Calibri" w:eastAsia="Calibri" w:hAnsi="Calibri" w:cs="Calibri"/>
      <w:w w:val="105"/>
      <w:kern w:val="4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FF4"/>
    <w:rPr>
      <w:rFonts w:ascii="Calibri" w:eastAsia="Calibri" w:hAnsi="Calibri" w:cs="Calibri"/>
      <w:b/>
      <w:bCs/>
      <w:w w:val="105"/>
      <w:kern w:val="4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5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516B"/>
    <w:rPr>
      <w:rFonts w:ascii="Calibri" w:eastAsia="Calibri" w:hAnsi="Calibri" w:cs="Calibri"/>
      <w:w w:val="105"/>
      <w:kern w:val="4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516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636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36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lation.gov.au/Series/C2004A00109" TargetMode="External"/><Relationship Id="rId13" Type="http://schemas.openxmlformats.org/officeDocument/2006/relationships/hyperlink" Target="https://www.legislation.gov.au/Series/C1968A00063" TargetMode="External"/><Relationship Id="rId18" Type="http://schemas.openxmlformats.org/officeDocument/2006/relationships/footer" Target="footer1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mailto:marriagecelebrantssection@ag.gov.au" TargetMode="External"/><Relationship Id="rId17" Type="http://schemas.openxmlformats.org/officeDocument/2006/relationships/header" Target="header2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g.gov.au/FamiliesAndMarriage/Marriage/resources-for-marriage-celebrants/Pages/your-responsibilities-as-a-marriage-celebrant.aspx" TargetMode="Externa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yperlink" Target="https://www.mara.gov.a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usiness.gov.au/Info/Run/Fair-trading/Fair-trading-law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accc.gov.au/about-us/australian-competition-consumer-commission/legislation" TargetMode="External"/><Relationship Id="rId14" Type="http://schemas.openxmlformats.org/officeDocument/2006/relationships/hyperlink" Target="https://www.border.gov.au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1ED633AC8EE4CBA28A61F69674E9B" ma:contentTypeVersion="1" ma:contentTypeDescription="Create a new document." ma:contentTypeScope="" ma:versionID="9698692d198057aae79e74874c88fe6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1A58B1-A334-4DAD-9729-DB4AE736E337}"/>
</file>

<file path=customXml/itemProps2.xml><?xml version="1.0" encoding="utf-8"?>
<ds:datastoreItem xmlns:ds="http://schemas.openxmlformats.org/officeDocument/2006/customXml" ds:itemID="{94A8CBCD-204F-40EA-9AB4-4EA15B058521}"/>
</file>

<file path=customXml/itemProps3.xml><?xml version="1.0" encoding="utf-8"?>
<ds:datastoreItem xmlns:ds="http://schemas.openxmlformats.org/officeDocument/2006/customXml" ds:itemID="{23438D91-78CB-432F-A383-73AB0E0EFF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4952</Characters>
  <Application>Microsoft Office Word</Application>
  <DocSecurity>0</DocSecurity>
  <Lines>90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on advertising for Commonwealth-registered marriage celebrants</dc:title>
  <dc:creator/>
  <cp:lastModifiedBy/>
  <cp:revision>1</cp:revision>
  <dcterms:created xsi:type="dcterms:W3CDTF">2020-01-12T22:55:00Z</dcterms:created>
  <dcterms:modified xsi:type="dcterms:W3CDTF">2020-01-12T22:55:00Z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0x0101004011ED633AC8EE4CBA28A61F69674E9B</vt:lpwstr>
  </property>
  <property fmtid="{D5CDD505-2E9C-101B-9397-08002B2CF9AE}" pid="3" name="Order">
    <vt:r8>44900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